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9E1F" w14:textId="77777777" w:rsidR="003F4462" w:rsidRPr="006D4B9C" w:rsidRDefault="003F4462" w:rsidP="003F4462">
      <w:pPr>
        <w:pBdr>
          <w:bottom w:val="single" w:sz="4" w:space="1" w:color="000000" w:themeColor="text1"/>
        </w:pBdr>
        <w:tabs>
          <w:tab w:val="right" w:pos="9356"/>
        </w:tabs>
        <w:spacing w:line="276" w:lineRule="auto"/>
        <w:jc w:val="center"/>
        <w:rPr>
          <w:rFonts w:ascii="Segoe UI Light" w:hAnsi="Segoe UI Light" w:cs="Segoe UI"/>
          <w:b/>
          <w:color w:val="808080" w:themeColor="background1" w:themeShade="80"/>
          <w:sz w:val="28"/>
        </w:rPr>
      </w:pPr>
      <w:r w:rsidRPr="006D4B9C">
        <w:rPr>
          <w:rFonts w:ascii="Segoe UI Light" w:hAnsi="Segoe UI Light" w:cs="Segoe UI"/>
          <w:b/>
          <w:noProof/>
          <w:color w:val="808080" w:themeColor="background1" w:themeShade="80"/>
          <w:sz w:val="28"/>
          <w:lang w:eastAsia="de-DE"/>
        </w:rPr>
        <w:t>Kontrollausschuss gemäß § 5 EU-QuaDG</w:t>
      </w:r>
    </w:p>
    <w:p w14:paraId="4C09F3B6" w14:textId="77777777" w:rsidR="007D145C" w:rsidRDefault="007D145C" w:rsidP="00CF0178"/>
    <w:p w14:paraId="34D76F0D" w14:textId="77777777" w:rsidR="009020F1" w:rsidRPr="00A90D5B" w:rsidRDefault="00395E08" w:rsidP="009910CD">
      <w:pPr>
        <w:jc w:val="center"/>
        <w:rPr>
          <w:rStyle w:val="IntensiveHervorhebung"/>
          <w:b w:val="0"/>
        </w:rPr>
      </w:pPr>
      <w:r>
        <w:rPr>
          <w:rStyle w:val="IntensiveHervorhebung"/>
        </w:rPr>
        <w:t xml:space="preserve">Bestätigung über die Nicht-Verfügbarkeit biologischer Eiweißfuttermittel </w:t>
      </w:r>
      <w:r w:rsidR="009910CD">
        <w:rPr>
          <w:rStyle w:val="IntensiveHervorhebung"/>
        </w:rPr>
        <w:br/>
      </w:r>
      <w:r>
        <w:rPr>
          <w:rStyle w:val="IntensiveHervorhebung"/>
        </w:rPr>
        <w:t xml:space="preserve">gemäß </w:t>
      </w:r>
      <w:r w:rsidR="003C70CE">
        <w:rPr>
          <w:rStyle w:val="IntensiveHervorhebung"/>
        </w:rPr>
        <w:t>Verordnung (EU) 2018/848</w:t>
      </w:r>
    </w:p>
    <w:p w14:paraId="47CC08B5" w14:textId="77777777" w:rsidR="00244C15" w:rsidRDefault="00244C15" w:rsidP="00EC65DA">
      <w:pPr>
        <w:pStyle w:val="berschrift1"/>
      </w:pPr>
      <w:bookmarkStart w:id="0" w:name="_Toc91157683"/>
      <w:r w:rsidRPr="00EC65DA">
        <w:t>Rechtsvorschriften</w:t>
      </w:r>
      <w:bookmarkEnd w:id="0"/>
    </w:p>
    <w:p w14:paraId="7976F06D" w14:textId="77777777" w:rsidR="00395E08" w:rsidRDefault="00395E08" w:rsidP="00395E08">
      <w:pPr>
        <w:jc w:val="both"/>
      </w:pPr>
      <w:r>
        <w:t>Anhang II Teil II Punkt 1.9.3.1. Buchstabe c bzw. Punkt 1.9.4.2. Buchstabe c der VO (EU) 2018/848 sieht vor, dass wenn den Unternehmer:innen keine ausschließlich aus biologischer Produktion stammende Eiweißfuttermittel zur Verfügung stehen und die zuständige Behörde bestätigt hat, dass biologische Eiweißfuttermittel nicht in ausreichender Menge zur Verfügung stehen, nicht-biologische Eiweißfuttermittel bis zum 31. Dezember 2026 eingesetzt werden</w:t>
      </w:r>
      <w:r w:rsidR="001D2C85" w:rsidRPr="001D2C85">
        <w:t xml:space="preserve"> </w:t>
      </w:r>
      <w:r w:rsidR="001D2C85">
        <w:t>dürfen</w:t>
      </w:r>
      <w:r>
        <w:t>, sofern folgende Bedingungen erfüllt sind:</w:t>
      </w:r>
    </w:p>
    <w:p w14:paraId="62F27C48" w14:textId="77777777" w:rsidR="00395E08" w:rsidRDefault="00395E08" w:rsidP="00CF0178">
      <w:pPr>
        <w:pStyle w:val="Listenabsatz"/>
        <w:numPr>
          <w:ilvl w:val="0"/>
          <w:numId w:val="9"/>
        </w:numPr>
      </w:pPr>
      <w:r>
        <w:t>sie sind nicht in biologisch hergestellter Form verfügbar;</w:t>
      </w:r>
    </w:p>
    <w:p w14:paraId="0B96CB93" w14:textId="77777777" w:rsidR="00395E08" w:rsidRDefault="00395E08" w:rsidP="00CF0178">
      <w:pPr>
        <w:pStyle w:val="Listenabsatz"/>
        <w:numPr>
          <w:ilvl w:val="0"/>
          <w:numId w:val="9"/>
        </w:numPr>
      </w:pPr>
      <w:r>
        <w:t>sie werden ohne chemische Lösungsmittel produziert oder aufbereitet;</w:t>
      </w:r>
    </w:p>
    <w:p w14:paraId="330C6BB8" w14:textId="77777777" w:rsidR="00395E08" w:rsidRDefault="00395E08" w:rsidP="00CF0178">
      <w:pPr>
        <w:pStyle w:val="Listenabsatz"/>
        <w:numPr>
          <w:ilvl w:val="0"/>
          <w:numId w:val="9"/>
        </w:numPr>
      </w:pPr>
      <w:r>
        <w:t>ihre Verwendung ist auf die Fütterung von</w:t>
      </w:r>
    </w:p>
    <w:p w14:paraId="7E8D36D9" w14:textId="77777777" w:rsidR="00395E08" w:rsidRDefault="00395E08" w:rsidP="00CF0178">
      <w:pPr>
        <w:pStyle w:val="Listenabsatz"/>
        <w:numPr>
          <w:ilvl w:val="0"/>
          <w:numId w:val="7"/>
        </w:numPr>
        <w:ind w:hanging="284"/>
      </w:pPr>
      <w:r>
        <w:t>Ferkeln bis 35 kg und</w:t>
      </w:r>
    </w:p>
    <w:p w14:paraId="0A7E2E34" w14:textId="77777777" w:rsidR="00395E08" w:rsidRDefault="00395E08" w:rsidP="00CF0178">
      <w:pPr>
        <w:pStyle w:val="Listenabsatz"/>
        <w:numPr>
          <w:ilvl w:val="0"/>
          <w:numId w:val="7"/>
        </w:numPr>
        <w:ind w:hanging="284"/>
      </w:pPr>
      <w:r>
        <w:t>Junggeflügel</w:t>
      </w:r>
    </w:p>
    <w:p w14:paraId="25BF2EAC" w14:textId="77777777" w:rsidR="00395E08" w:rsidRDefault="00395E08" w:rsidP="00CF0178">
      <w:pPr>
        <w:pStyle w:val="Listenabsatz"/>
        <w:ind w:left="1080"/>
      </w:pPr>
      <w:r>
        <w:t>mit bestimmten Eiweißverbindungen beschränkt;</w:t>
      </w:r>
    </w:p>
    <w:p w14:paraId="326E55A6" w14:textId="77777777" w:rsidR="00075951" w:rsidRDefault="00395E08" w:rsidP="00CF0178">
      <w:pPr>
        <w:pStyle w:val="Listenabsatz"/>
        <w:numPr>
          <w:ilvl w:val="0"/>
          <w:numId w:val="9"/>
        </w:numPr>
      </w:pPr>
      <w:r>
        <w:t>der je Zeitraum von zwölf Monaten für diese Tierarten zulässige Prozentsatz beträgt maximal 5 %. Der Prozentsatz ist bezogen auf die Trockenmasse der Futtermittel landwirtschaftlichen Ursprungs zu berechnen.</w:t>
      </w:r>
    </w:p>
    <w:p w14:paraId="4DD8A0FD" w14:textId="18A136E6" w:rsidR="00EC65DA" w:rsidRDefault="00395E08" w:rsidP="00EC65DA">
      <w:pPr>
        <w:pStyle w:val="berschrift1"/>
      </w:pPr>
      <w:r>
        <w:t>Bestätigung</w:t>
      </w:r>
      <w:r w:rsidR="00EC65DA">
        <w:t xml:space="preserve"> für das Jahr 202</w:t>
      </w:r>
      <w:r w:rsidR="00191148">
        <w:t>5</w:t>
      </w:r>
    </w:p>
    <w:p w14:paraId="0AA4E208" w14:textId="733D77A9" w:rsidR="00CF0178" w:rsidRDefault="00607EC4" w:rsidP="00DA3B20">
      <w:pPr>
        <w:jc w:val="both"/>
      </w:pPr>
      <w:r w:rsidRPr="00B67ADD">
        <w:t>Auf Basis der Aussagen von Vertretern der Futtermittelwirtschaft</w:t>
      </w:r>
      <w:r w:rsidR="00CF0178" w:rsidRPr="00B67ADD">
        <w:t xml:space="preserve"> über die österreichweite Versorgung mit biologischen Eiweißfuttermitteln </w:t>
      </w:r>
      <w:r w:rsidR="00F43E7F" w:rsidRPr="00B67ADD">
        <w:t>und weiterer Erkenntnisse einer Expertenrunde zum Thema „Eiweißversorgung von Legehennen und Elterntieren Gallus gallus“</w:t>
      </w:r>
      <w:r w:rsidR="00F43E7F">
        <w:t xml:space="preserve"> </w:t>
      </w:r>
      <w:r w:rsidR="00CF0178">
        <w:t xml:space="preserve">wird bestätigt, dass für </w:t>
      </w:r>
      <w:r w:rsidR="00CF0178" w:rsidRPr="00CF0178">
        <w:t>Junggeflügel</w:t>
      </w:r>
      <w:r w:rsidR="00771AD2">
        <w:rPr>
          <w:rStyle w:val="Funotenzeichen"/>
        </w:rPr>
        <w:footnoteReference w:id="1"/>
      </w:r>
      <w:r w:rsidR="00CF0178" w:rsidRPr="00CF0178">
        <w:t xml:space="preserve"> biologische Eiweißfuttermittel nicht in ausreichender Menge zur Verfügung stehen</w:t>
      </w:r>
      <w:r w:rsidR="00CF0178">
        <w:t xml:space="preserve">. </w:t>
      </w:r>
      <w:r w:rsidR="00CF0178" w:rsidRPr="00CF0178">
        <w:t>Da für Junggeflügel</w:t>
      </w:r>
      <w:r w:rsidR="00771AD2" w:rsidRPr="00771AD2">
        <w:rPr>
          <w:vertAlign w:val="superscript"/>
        </w:rPr>
        <w:t>*</w:t>
      </w:r>
      <w:r w:rsidR="00CF0178" w:rsidRPr="00CF0178">
        <w:t xml:space="preserve"> </w:t>
      </w:r>
      <w:r w:rsidR="00CF0178">
        <w:t xml:space="preserve">die unzureichende Verfügbarkeit biologischer Eiweißfuttermittel bestätigt ist, </w:t>
      </w:r>
      <w:r w:rsidR="00CF0178" w:rsidRPr="00CF0178">
        <w:t>dürfen nicht-biologische Eiweißfuttermittel für das Jahr 202</w:t>
      </w:r>
      <w:r w:rsidR="00191148">
        <w:t>5</w:t>
      </w:r>
      <w:r w:rsidR="00CF0178" w:rsidRPr="00CF0178">
        <w:t xml:space="preserve"> – unter Einhaltung der Bedingungen</w:t>
      </w:r>
      <w:r w:rsidR="00CF0178">
        <w:t xml:space="preserve"> insbesondere gemäß Anhang II Teil II Punkt 1.9.4.2. Buchstabe c der VO (EU) 2018/848</w:t>
      </w:r>
      <w:r w:rsidR="00CF0178" w:rsidRPr="00CF0178">
        <w:t xml:space="preserve"> – eingesetzt werden.</w:t>
      </w:r>
    </w:p>
    <w:p w14:paraId="1A56ABFC" w14:textId="77777777" w:rsidR="00F43E7F" w:rsidRDefault="00F43E7F" w:rsidP="00DA3B20">
      <w:pPr>
        <w:jc w:val="both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819"/>
      </w:tblGrid>
      <w:tr w:rsidR="00395E08" w14:paraId="6826E4B3" w14:textId="77777777" w:rsidTr="00771AD2">
        <w:trPr>
          <w:jc w:val="center"/>
        </w:trPr>
        <w:tc>
          <w:tcPr>
            <w:tcW w:w="2689" w:type="dxa"/>
          </w:tcPr>
          <w:p w14:paraId="315C9B24" w14:textId="77777777" w:rsidR="00395E08" w:rsidRPr="00395E08" w:rsidRDefault="00395E08" w:rsidP="00075951">
            <w:pPr>
              <w:rPr>
                <w:b/>
              </w:rPr>
            </w:pPr>
            <w:r w:rsidRPr="00395E08">
              <w:rPr>
                <w:b/>
              </w:rPr>
              <w:t>Tierkategorie</w:t>
            </w:r>
          </w:p>
        </w:tc>
        <w:tc>
          <w:tcPr>
            <w:tcW w:w="4819" w:type="dxa"/>
          </w:tcPr>
          <w:p w14:paraId="48B879D6" w14:textId="77777777" w:rsidR="00395E08" w:rsidRPr="00395E08" w:rsidRDefault="00395E08" w:rsidP="00CF0178">
            <w:pPr>
              <w:rPr>
                <w:b/>
              </w:rPr>
            </w:pPr>
            <w:r w:rsidRPr="00395E08">
              <w:rPr>
                <w:b/>
              </w:rPr>
              <w:t xml:space="preserve">Verfügbarkeit </w:t>
            </w:r>
            <w:r w:rsidR="00CF0178">
              <w:rPr>
                <w:b/>
              </w:rPr>
              <w:t>biologischer Eiweißfuttermittel</w:t>
            </w:r>
          </w:p>
        </w:tc>
      </w:tr>
      <w:tr w:rsidR="00395E08" w14:paraId="0A9841AB" w14:textId="77777777" w:rsidTr="00771AD2">
        <w:trPr>
          <w:jc w:val="center"/>
        </w:trPr>
        <w:tc>
          <w:tcPr>
            <w:tcW w:w="2689" w:type="dxa"/>
            <w:shd w:val="clear" w:color="auto" w:fill="C2D69B" w:themeFill="accent3" w:themeFillTint="99"/>
          </w:tcPr>
          <w:p w14:paraId="37209EB0" w14:textId="77777777" w:rsidR="00395E08" w:rsidRDefault="00CF0178" w:rsidP="00075951">
            <w:r>
              <w:t>Ferkel</w:t>
            </w:r>
            <w:r w:rsidR="00395E08">
              <w:t xml:space="preserve"> bis 35 kg</w:t>
            </w:r>
          </w:p>
        </w:tc>
        <w:tc>
          <w:tcPr>
            <w:tcW w:w="4819" w:type="dxa"/>
            <w:shd w:val="clear" w:color="auto" w:fill="C2D69B" w:themeFill="accent3" w:themeFillTint="99"/>
          </w:tcPr>
          <w:p w14:paraId="7974A2D8" w14:textId="77777777" w:rsidR="00395E08" w:rsidRDefault="00395E08" w:rsidP="00075951">
            <w:r>
              <w:t>ausreichende Versorgung</w:t>
            </w:r>
          </w:p>
        </w:tc>
      </w:tr>
      <w:tr w:rsidR="00395E08" w14:paraId="373CB92F" w14:textId="77777777" w:rsidTr="00771AD2">
        <w:trPr>
          <w:jc w:val="center"/>
        </w:trPr>
        <w:tc>
          <w:tcPr>
            <w:tcW w:w="2689" w:type="dxa"/>
            <w:shd w:val="clear" w:color="auto" w:fill="D99594" w:themeFill="accent2" w:themeFillTint="99"/>
          </w:tcPr>
          <w:p w14:paraId="0E1BE0B7" w14:textId="77777777" w:rsidR="00395E08" w:rsidRDefault="00395E08" w:rsidP="00075951">
            <w:r>
              <w:t>Junggeflügel</w:t>
            </w:r>
            <w:r w:rsidR="00771AD2">
              <w:t xml:space="preserve"> &lt; 18 Wochen</w:t>
            </w:r>
          </w:p>
        </w:tc>
        <w:tc>
          <w:tcPr>
            <w:tcW w:w="4819" w:type="dxa"/>
            <w:shd w:val="clear" w:color="auto" w:fill="D99594" w:themeFill="accent2" w:themeFillTint="99"/>
          </w:tcPr>
          <w:p w14:paraId="5E888AAB" w14:textId="77777777" w:rsidR="00395E08" w:rsidRDefault="00395E08" w:rsidP="00075951">
            <w:r>
              <w:t>unzureichende Versorgung</w:t>
            </w:r>
          </w:p>
        </w:tc>
      </w:tr>
    </w:tbl>
    <w:p w14:paraId="2F990B9A" w14:textId="77777777" w:rsidR="00395E08" w:rsidRDefault="00395E08" w:rsidP="00075951"/>
    <w:p w14:paraId="3E57B671" w14:textId="77777777" w:rsidR="00EC65DA" w:rsidRDefault="00EC65DA"/>
    <w:p w14:paraId="45FEED42" w14:textId="77777777" w:rsidR="00EC65DA" w:rsidRDefault="00EC65DA"/>
    <w:p w14:paraId="5FE0DF81" w14:textId="77777777" w:rsidR="00EC65DA" w:rsidRDefault="00EC65DA"/>
    <w:p w14:paraId="50EB5298" w14:textId="77777777" w:rsidR="00EC65DA" w:rsidRDefault="00EC65DA"/>
    <w:p w14:paraId="6ECC7F49" w14:textId="77777777" w:rsidR="00EC65DA" w:rsidRDefault="00EC65DA"/>
    <w:p w14:paraId="363C0D34" w14:textId="77777777" w:rsidR="00EC65DA" w:rsidRDefault="00EC65DA"/>
    <w:p w14:paraId="38D35D22" w14:textId="5F21905C" w:rsidR="009A5738" w:rsidRDefault="003838AC" w:rsidP="003838AC">
      <w:pPr>
        <w:spacing w:before="80" w:after="0" w:line="200" w:lineRule="exact"/>
        <w:jc w:val="center"/>
      </w:pPr>
      <w:r w:rsidRPr="009A5738">
        <w:rPr>
          <w:sz w:val="14"/>
          <w:szCs w:val="14"/>
        </w:rPr>
        <w:t xml:space="preserve">Bezug auf </w:t>
      </w:r>
      <w:sdt>
        <w:sdtPr>
          <w:rPr>
            <w:sz w:val="14"/>
            <w:szCs w:val="14"/>
          </w:rPr>
          <w:id w:val="980892046"/>
          <w:text/>
        </w:sdtPr>
        <w:sdtEndPr/>
        <w:sdtContent>
          <w:r w:rsidRPr="007C3B67">
            <w:rPr>
              <w:sz w:val="14"/>
              <w:szCs w:val="14"/>
            </w:rPr>
            <w:t>VA_00</w:t>
          </w:r>
          <w:r>
            <w:rPr>
              <w:sz w:val="14"/>
              <w:szCs w:val="14"/>
            </w:rPr>
            <w:t>16</w:t>
          </w:r>
          <w:r w:rsidRPr="007C3B67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Zulassung nicht-biologischer Eiweißfuttermittel</w:t>
          </w:r>
        </w:sdtContent>
      </w:sdt>
      <w:r>
        <w:rPr>
          <w:sz w:val="14"/>
          <w:szCs w:val="14"/>
        </w:rPr>
        <w:t xml:space="preserve">, erstellt und fachlich geprüft Geschäftsstelle gemäß EU-QuaDG </w:t>
      </w:r>
      <w:r w:rsidR="00B67ADD">
        <w:rPr>
          <w:sz w:val="14"/>
          <w:szCs w:val="14"/>
        </w:rPr>
        <w:t>1</w:t>
      </w:r>
      <w:r>
        <w:rPr>
          <w:sz w:val="14"/>
          <w:szCs w:val="14"/>
        </w:rPr>
        <w:t xml:space="preserve">0.09.2024; QM-geprüft Geschäftsstelle </w:t>
      </w:r>
      <w:r w:rsidR="00C04E2E">
        <w:rPr>
          <w:sz w:val="14"/>
          <w:szCs w:val="14"/>
        </w:rPr>
        <w:t>26</w:t>
      </w:r>
      <w:r>
        <w:rPr>
          <w:sz w:val="14"/>
          <w:szCs w:val="14"/>
        </w:rPr>
        <w:t xml:space="preserve">.09.2024; freigegeben Beirat für die biologische Produktion gemäß EU-QuaDG </w:t>
      </w:r>
      <w:r w:rsidR="003255E4">
        <w:rPr>
          <w:sz w:val="14"/>
          <w:szCs w:val="14"/>
        </w:rPr>
        <w:t>16.10</w:t>
      </w:r>
      <w:r>
        <w:rPr>
          <w:sz w:val="14"/>
          <w:szCs w:val="14"/>
        </w:rPr>
        <w:t xml:space="preserve">.2024; Kontrollausschuss gemäß EU-QuaDG </w:t>
      </w:r>
      <w:r w:rsidR="00001751">
        <w:rPr>
          <w:sz w:val="14"/>
          <w:szCs w:val="14"/>
        </w:rPr>
        <w:t>05.11</w:t>
      </w:r>
      <w:r>
        <w:rPr>
          <w:sz w:val="14"/>
          <w:szCs w:val="14"/>
        </w:rPr>
        <w:t>.2024; Vorlage 666_6</w:t>
      </w:r>
    </w:p>
    <w:sectPr w:rsidR="009A5738" w:rsidSect="00530A6E">
      <w:footerReference w:type="default" r:id="rId8"/>
      <w:footnotePr>
        <w:numFmt w:val="chicago"/>
      </w:footnotePr>
      <w:pgSz w:w="11906" w:h="16838" w:code="9"/>
      <w:pgMar w:top="851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F7F4" w14:textId="77777777" w:rsidR="00766E5E" w:rsidRDefault="00766E5E" w:rsidP="009B2CD4">
      <w:pPr>
        <w:spacing w:after="0"/>
      </w:pPr>
      <w:r>
        <w:separator/>
      </w:r>
    </w:p>
  </w:endnote>
  <w:endnote w:type="continuationSeparator" w:id="0">
    <w:p w14:paraId="237F7520" w14:textId="77777777" w:rsidR="00766E5E" w:rsidRDefault="00766E5E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3442"/>
      <w:gridCol w:w="3441"/>
      <w:gridCol w:w="3436"/>
    </w:tblGrid>
    <w:tr w:rsidR="003F1567" w14:paraId="36C18FC3" w14:textId="77777777" w:rsidTr="007C27B0">
      <w:trPr>
        <w:trHeight w:val="268"/>
        <w:tblHeader/>
      </w:trPr>
      <w:tc>
        <w:tcPr>
          <w:tcW w:w="10375" w:type="dxa"/>
          <w:gridSpan w:val="3"/>
        </w:tcPr>
        <w:p w14:paraId="4E51E4C1" w14:textId="77777777" w:rsidR="003F1567" w:rsidRDefault="00CF0178" w:rsidP="00793407">
          <w:pPr>
            <w:spacing w:after="20"/>
          </w:pPr>
          <w:r w:rsidRPr="00CF0178">
            <w:t>Bestätigung über die Nicht-Verfügbarkeit biologischer Eiweißfuttermittel gemäß Verordnung (EU) 2018/848</w:t>
          </w:r>
        </w:p>
      </w:tc>
    </w:tr>
    <w:tr w:rsidR="003F1567" w14:paraId="4C61C0B8" w14:textId="77777777" w:rsidTr="007C27B0">
      <w:trPr>
        <w:trHeight w:val="213"/>
      </w:trPr>
      <w:tc>
        <w:tcPr>
          <w:tcW w:w="3458" w:type="dxa"/>
        </w:tcPr>
        <w:p w14:paraId="3AB508E7" w14:textId="2E9D5E62" w:rsidR="003F1567" w:rsidRDefault="003F1567" w:rsidP="00741037">
          <w:pPr>
            <w:spacing w:after="20"/>
          </w:pPr>
          <w:r w:rsidRPr="00EE7F64">
            <w:t xml:space="preserve">Dokument-Nr.: </w:t>
          </w:r>
          <w:r w:rsidR="00B70A79">
            <w:t>L_00</w:t>
          </w:r>
          <w:r w:rsidR="00741037">
            <w:t>23</w:t>
          </w:r>
          <w:r w:rsidR="00793407">
            <w:t>_</w:t>
          </w:r>
          <w:r w:rsidR="003838AC">
            <w:t>3</w:t>
          </w:r>
        </w:p>
      </w:tc>
      <w:tc>
        <w:tcPr>
          <w:tcW w:w="3458" w:type="dxa"/>
        </w:tcPr>
        <w:p w14:paraId="4E235052" w14:textId="6FC62922" w:rsidR="000010ED" w:rsidRDefault="00DB0F75" w:rsidP="000010ED">
          <w:pPr>
            <w:spacing w:after="20"/>
            <w:jc w:val="center"/>
          </w:pPr>
          <w:r>
            <w:t xml:space="preserve">gültig ab </w:t>
          </w:r>
          <w:r w:rsidR="00A30E71" w:rsidRPr="009020F1">
            <w:t>0</w:t>
          </w:r>
          <w:r w:rsidR="00395E08">
            <w:t>1</w:t>
          </w:r>
          <w:r w:rsidRPr="009020F1">
            <w:t>.</w:t>
          </w:r>
          <w:r w:rsidR="00793407" w:rsidRPr="00A30E71">
            <w:t>0</w:t>
          </w:r>
          <w:r w:rsidR="00395E08">
            <w:t>1</w:t>
          </w:r>
          <w:r>
            <w:t>.20</w:t>
          </w:r>
          <w:r w:rsidR="00793407">
            <w:t>2</w:t>
          </w:r>
          <w:r w:rsidR="003838AC">
            <w:t>5</w:t>
          </w:r>
        </w:p>
      </w:tc>
      <w:tc>
        <w:tcPr>
          <w:tcW w:w="3459" w:type="dxa"/>
        </w:tcPr>
        <w:p w14:paraId="3BCD41CA" w14:textId="77777777" w:rsidR="003F1567" w:rsidRDefault="003F1567" w:rsidP="007C27B0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1D2C85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r w:rsidR="00F43E7F">
            <w:fldChar w:fldCharType="begin"/>
          </w:r>
          <w:r w:rsidR="00F43E7F">
            <w:instrText xml:space="preserve"> NUMPAGES </w:instrText>
          </w:r>
          <w:r w:rsidR="00F43E7F">
            <w:fldChar w:fldCharType="separate"/>
          </w:r>
          <w:r w:rsidR="001D2C85">
            <w:rPr>
              <w:noProof/>
            </w:rPr>
            <w:t>1</w:t>
          </w:r>
          <w:r w:rsidR="00F43E7F">
            <w:rPr>
              <w:noProof/>
            </w:rPr>
            <w:fldChar w:fldCharType="end"/>
          </w:r>
        </w:p>
      </w:tc>
    </w:tr>
  </w:tbl>
  <w:p w14:paraId="5D2B209E" w14:textId="77777777" w:rsidR="007C27B0" w:rsidRDefault="007C27B0" w:rsidP="007C2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8A1A4" w14:textId="77777777" w:rsidR="00766E5E" w:rsidRDefault="00766E5E" w:rsidP="009B2CD4">
      <w:pPr>
        <w:spacing w:after="0"/>
      </w:pPr>
      <w:r>
        <w:separator/>
      </w:r>
    </w:p>
  </w:footnote>
  <w:footnote w:type="continuationSeparator" w:id="0">
    <w:p w14:paraId="7E46A6A0" w14:textId="77777777" w:rsidR="00766E5E" w:rsidRDefault="00766E5E" w:rsidP="009B2CD4">
      <w:pPr>
        <w:spacing w:after="0"/>
      </w:pPr>
      <w:r>
        <w:continuationSeparator/>
      </w:r>
    </w:p>
  </w:footnote>
  <w:footnote w:id="1">
    <w:p w14:paraId="582C625F" w14:textId="77777777" w:rsidR="00771AD2" w:rsidRDefault="00771AD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71AD2">
        <w:t>Jungtiere, die unter 18 Wochen alt sind.</w:t>
      </w:r>
    </w:p>
    <w:p w14:paraId="39C6C029" w14:textId="77777777" w:rsidR="00771AD2" w:rsidRDefault="00771AD2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F93"/>
    <w:multiLevelType w:val="hybridMultilevel"/>
    <w:tmpl w:val="3730B356"/>
    <w:lvl w:ilvl="0" w:tplc="E5662D60">
      <w:numFmt w:val="bullet"/>
      <w:lvlText w:val="-"/>
      <w:lvlJc w:val="left"/>
      <w:pPr>
        <w:ind w:left="1418" w:hanging="71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B56AFF"/>
    <w:multiLevelType w:val="hybridMultilevel"/>
    <w:tmpl w:val="2BB64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86B0C"/>
    <w:multiLevelType w:val="hybridMultilevel"/>
    <w:tmpl w:val="0B868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A7AE5"/>
    <w:multiLevelType w:val="hybridMultilevel"/>
    <w:tmpl w:val="8E0CD580"/>
    <w:lvl w:ilvl="0" w:tplc="E7D8E3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6314"/>
    <w:multiLevelType w:val="multilevel"/>
    <w:tmpl w:val="5A1A24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16"/>
        </w:tabs>
        <w:ind w:left="341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16315417">
    <w:abstractNumId w:val="6"/>
  </w:num>
  <w:num w:numId="2" w16cid:durableId="955721459">
    <w:abstractNumId w:val="2"/>
  </w:num>
  <w:num w:numId="3" w16cid:durableId="2097896922">
    <w:abstractNumId w:val="4"/>
  </w:num>
  <w:num w:numId="4" w16cid:durableId="1606693149">
    <w:abstractNumId w:val="7"/>
  </w:num>
  <w:num w:numId="5" w16cid:durableId="1337537174">
    <w:abstractNumId w:val="8"/>
  </w:num>
  <w:num w:numId="6" w16cid:durableId="792938557">
    <w:abstractNumId w:val="3"/>
  </w:num>
  <w:num w:numId="7" w16cid:durableId="876544413">
    <w:abstractNumId w:val="0"/>
  </w:num>
  <w:num w:numId="8" w16cid:durableId="1911310735">
    <w:abstractNumId w:val="1"/>
  </w:num>
  <w:num w:numId="9" w16cid:durableId="1103185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9"/>
    <w:rsid w:val="000010ED"/>
    <w:rsid w:val="00001573"/>
    <w:rsid w:val="00001751"/>
    <w:rsid w:val="0006564F"/>
    <w:rsid w:val="00075951"/>
    <w:rsid w:val="00084BE9"/>
    <w:rsid w:val="000B1227"/>
    <w:rsid w:val="000B1CF8"/>
    <w:rsid w:val="000B4E34"/>
    <w:rsid w:val="000B52FF"/>
    <w:rsid w:val="000B721F"/>
    <w:rsid w:val="000D1E76"/>
    <w:rsid w:val="00102575"/>
    <w:rsid w:val="001134AE"/>
    <w:rsid w:val="001279A6"/>
    <w:rsid w:val="00142C67"/>
    <w:rsid w:val="00191148"/>
    <w:rsid w:val="001D2C85"/>
    <w:rsid w:val="001D7B7B"/>
    <w:rsid w:val="00211E6C"/>
    <w:rsid w:val="002272DD"/>
    <w:rsid w:val="00244C15"/>
    <w:rsid w:val="002B6050"/>
    <w:rsid w:val="002D376E"/>
    <w:rsid w:val="002D4C71"/>
    <w:rsid w:val="002F508F"/>
    <w:rsid w:val="003255E4"/>
    <w:rsid w:val="00334EB5"/>
    <w:rsid w:val="00345E3D"/>
    <w:rsid w:val="00350BD6"/>
    <w:rsid w:val="00357B3F"/>
    <w:rsid w:val="003838AC"/>
    <w:rsid w:val="00395E08"/>
    <w:rsid w:val="003C70CE"/>
    <w:rsid w:val="003C7D3A"/>
    <w:rsid w:val="003E2684"/>
    <w:rsid w:val="003F1567"/>
    <w:rsid w:val="003F4462"/>
    <w:rsid w:val="00402345"/>
    <w:rsid w:val="004262FB"/>
    <w:rsid w:val="0043377B"/>
    <w:rsid w:val="004913E5"/>
    <w:rsid w:val="00491FAD"/>
    <w:rsid w:val="004A1494"/>
    <w:rsid w:val="004A4345"/>
    <w:rsid w:val="004C1921"/>
    <w:rsid w:val="004C3141"/>
    <w:rsid w:val="004E58A1"/>
    <w:rsid w:val="00506441"/>
    <w:rsid w:val="00507638"/>
    <w:rsid w:val="00521E62"/>
    <w:rsid w:val="005239DB"/>
    <w:rsid w:val="00530A6E"/>
    <w:rsid w:val="00533679"/>
    <w:rsid w:val="00537E85"/>
    <w:rsid w:val="00545DF2"/>
    <w:rsid w:val="005542E4"/>
    <w:rsid w:val="00593251"/>
    <w:rsid w:val="00594480"/>
    <w:rsid w:val="00597FD0"/>
    <w:rsid w:val="005A20C8"/>
    <w:rsid w:val="005A75C8"/>
    <w:rsid w:val="005C1B26"/>
    <w:rsid w:val="005C528F"/>
    <w:rsid w:val="005D2971"/>
    <w:rsid w:val="005E7D69"/>
    <w:rsid w:val="00600D69"/>
    <w:rsid w:val="00607EC4"/>
    <w:rsid w:val="006105BC"/>
    <w:rsid w:val="006758DF"/>
    <w:rsid w:val="00681F00"/>
    <w:rsid w:val="006860B7"/>
    <w:rsid w:val="0068624A"/>
    <w:rsid w:val="006B2BC1"/>
    <w:rsid w:val="006D122B"/>
    <w:rsid w:val="006D2F6E"/>
    <w:rsid w:val="006D6B99"/>
    <w:rsid w:val="00703F1F"/>
    <w:rsid w:val="00712A29"/>
    <w:rsid w:val="00727360"/>
    <w:rsid w:val="00741037"/>
    <w:rsid w:val="00755A2F"/>
    <w:rsid w:val="00763F76"/>
    <w:rsid w:val="00766CC9"/>
    <w:rsid w:val="00766E5E"/>
    <w:rsid w:val="00771AD2"/>
    <w:rsid w:val="00787751"/>
    <w:rsid w:val="00793407"/>
    <w:rsid w:val="007B483E"/>
    <w:rsid w:val="007B77EE"/>
    <w:rsid w:val="007C27B0"/>
    <w:rsid w:val="007C3B67"/>
    <w:rsid w:val="007D0D8E"/>
    <w:rsid w:val="007D145C"/>
    <w:rsid w:val="007E0B1B"/>
    <w:rsid w:val="007E3463"/>
    <w:rsid w:val="007E4663"/>
    <w:rsid w:val="007F05C2"/>
    <w:rsid w:val="0080175D"/>
    <w:rsid w:val="008138BA"/>
    <w:rsid w:val="00840704"/>
    <w:rsid w:val="00855F7A"/>
    <w:rsid w:val="008B41E6"/>
    <w:rsid w:val="008F484B"/>
    <w:rsid w:val="009020F1"/>
    <w:rsid w:val="009320EB"/>
    <w:rsid w:val="0093269A"/>
    <w:rsid w:val="00944AE7"/>
    <w:rsid w:val="009457B7"/>
    <w:rsid w:val="00955BCC"/>
    <w:rsid w:val="009910CD"/>
    <w:rsid w:val="009A5738"/>
    <w:rsid w:val="009B13A9"/>
    <w:rsid w:val="009B2CD4"/>
    <w:rsid w:val="009B6B88"/>
    <w:rsid w:val="009C4B41"/>
    <w:rsid w:val="009D09D9"/>
    <w:rsid w:val="009E584E"/>
    <w:rsid w:val="00A07D06"/>
    <w:rsid w:val="00A27F14"/>
    <w:rsid w:val="00A30E71"/>
    <w:rsid w:val="00A322B3"/>
    <w:rsid w:val="00A62E62"/>
    <w:rsid w:val="00A67723"/>
    <w:rsid w:val="00A90D5B"/>
    <w:rsid w:val="00B67ADD"/>
    <w:rsid w:val="00B70A79"/>
    <w:rsid w:val="00B768FA"/>
    <w:rsid w:val="00BC22A9"/>
    <w:rsid w:val="00BD2565"/>
    <w:rsid w:val="00BF7E0A"/>
    <w:rsid w:val="00C04E2E"/>
    <w:rsid w:val="00C414DF"/>
    <w:rsid w:val="00C71278"/>
    <w:rsid w:val="00CC3C94"/>
    <w:rsid w:val="00CE0CCE"/>
    <w:rsid w:val="00CE76CF"/>
    <w:rsid w:val="00CF0178"/>
    <w:rsid w:val="00CF660C"/>
    <w:rsid w:val="00D2096F"/>
    <w:rsid w:val="00D51F8E"/>
    <w:rsid w:val="00D61A38"/>
    <w:rsid w:val="00D76699"/>
    <w:rsid w:val="00D912A3"/>
    <w:rsid w:val="00D97973"/>
    <w:rsid w:val="00DA080F"/>
    <w:rsid w:val="00DA3B20"/>
    <w:rsid w:val="00DA586F"/>
    <w:rsid w:val="00DB0F75"/>
    <w:rsid w:val="00DF6742"/>
    <w:rsid w:val="00E22568"/>
    <w:rsid w:val="00E34197"/>
    <w:rsid w:val="00E42BA4"/>
    <w:rsid w:val="00E47FAE"/>
    <w:rsid w:val="00E63917"/>
    <w:rsid w:val="00E80E9F"/>
    <w:rsid w:val="00E85929"/>
    <w:rsid w:val="00EB13A8"/>
    <w:rsid w:val="00EC65DA"/>
    <w:rsid w:val="00EF4C1B"/>
    <w:rsid w:val="00F358F4"/>
    <w:rsid w:val="00F43E7F"/>
    <w:rsid w:val="00F821D6"/>
    <w:rsid w:val="00F867FB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E91823"/>
  <w15:docId w15:val="{44F9345D-17DC-4F10-B5BF-FB260B2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93269A"/>
    <w:pPr>
      <w:keepNext/>
      <w:keepLines/>
      <w:numPr>
        <w:numId w:val="1"/>
      </w:numPr>
      <w:spacing w:before="360" w:after="1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3269A"/>
    <w:pPr>
      <w:keepNext/>
      <w:keepLines/>
      <w:numPr>
        <w:ilvl w:val="1"/>
        <w:numId w:val="1"/>
      </w:numPr>
      <w:spacing w:before="240" w:after="18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F508F"/>
    <w:pPr>
      <w:keepNext/>
      <w:keepLines/>
      <w:numPr>
        <w:ilvl w:val="2"/>
        <w:numId w:val="1"/>
      </w:numPr>
      <w:spacing w:before="180" w:after="120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F508F"/>
    <w:pPr>
      <w:keepNext/>
      <w:keepLines/>
      <w:numPr>
        <w:ilvl w:val="3"/>
        <w:numId w:val="1"/>
      </w:numPr>
      <w:spacing w:before="60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uiPriority w:val="59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76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76C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76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76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76CF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1AD2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1AD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1AD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71AD2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71AD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71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A5CE-6C22-41A0-A71D-6F4E7114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Forer Lorenz</dc:creator>
  <cp:lastModifiedBy>Gaschler Angelika</cp:lastModifiedBy>
  <cp:revision>6</cp:revision>
  <cp:lastPrinted>2018-08-16T08:13:00Z</cp:lastPrinted>
  <dcterms:created xsi:type="dcterms:W3CDTF">2024-09-10T14:42:00Z</dcterms:created>
  <dcterms:modified xsi:type="dcterms:W3CDTF">2024-11-06T06:37:00Z</dcterms:modified>
</cp:coreProperties>
</file>